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2754" w14:textId="77777777" w:rsidR="00CF02DE" w:rsidRDefault="009D0A2B">
      <w:pPr>
        <w:pStyle w:val="Ttulo1"/>
      </w:pPr>
      <w:r>
        <w:t>Transformación Académica ICBC 2026 – Documento para Coordinadores</w:t>
      </w:r>
    </w:p>
    <w:p w14:paraId="03E4BDC0" w14:textId="77777777" w:rsidR="00CF02DE" w:rsidRDefault="009D0A2B">
      <w:r>
        <w:t>Instituto Chileno Británico de Cultura</w:t>
      </w:r>
      <w:r>
        <w:br/>
        <w:t>Un cambio responsable hacia la excelencia, la calidad y la rentabilidad.</w:t>
      </w:r>
      <w:r>
        <w:br/>
        <w:t>Preparado por: Gerencia General Interina – Patricio Varela</w:t>
      </w:r>
      <w:r>
        <w:br/>
        <w:t xml:space="preserve">Fecha: [día </w:t>
      </w:r>
      <w:r>
        <w:t>siguiente]</w:t>
      </w:r>
      <w:r>
        <w:br/>
      </w:r>
    </w:p>
    <w:p w14:paraId="79502884" w14:textId="77777777" w:rsidR="00CF02DE" w:rsidRDefault="009D0A2B">
      <w:pPr>
        <w:pStyle w:val="Ttulo2"/>
      </w:pPr>
      <w:r>
        <w:t>1. Sentido de Urgencia</w:t>
      </w:r>
    </w:p>
    <w:p w14:paraId="132F51E2" w14:textId="77777777" w:rsidR="00CF02DE" w:rsidRDefault="009D0A2B">
      <w:r>
        <w:t>No es una opción cambiar. Es una obligación estratégica para sobrevivir y crecer. El 2026 será el año en que el ICBC pase de resistir a reinventarse. Retención, rentabilidad y reputación académica exigen una gestión más ágil y flexible.</w:t>
      </w:r>
    </w:p>
    <w:p w14:paraId="1964FD62" w14:textId="77777777" w:rsidR="00CF02DE" w:rsidRDefault="009D0A2B">
      <w:pPr>
        <w:pStyle w:val="Ttulo2"/>
      </w:pPr>
      <w:r>
        <w:t>2. Diagnóstico Actual</w:t>
      </w:r>
    </w:p>
    <w:p w14:paraId="52594782" w14:textId="77777777" w:rsidR="00CF02DE" w:rsidRDefault="009D0A2B">
      <w:r>
        <w:t>Cumplimiento docente inconsistente; baja retención; evaluaciones presenciales que consumen tiempo; gestión académica desconectada. Se requiere control digital y eficiencia operativa.</w:t>
      </w:r>
    </w:p>
    <w:p w14:paraId="461914D4" w14:textId="77777777" w:rsidR="00CF02DE" w:rsidRDefault="009D0A2B">
      <w:pPr>
        <w:pStyle w:val="Ttulo2"/>
      </w:pPr>
      <w:r>
        <w:t>3. Análisis Competitivo (Benchmark)</w:t>
      </w:r>
    </w:p>
    <w:p w14:paraId="4B40D13F" w14:textId="77777777" w:rsidR="00CF02DE" w:rsidRDefault="009D0A2B">
      <w:r>
        <w:t>El Norteamericano y Tronwell mantienen modelos presenciales tradicionales; OpenEnglish ofrece autoestudio sin personalización. El ICBC 2026 se diferencia por ofrecer un modelo intensivo y certificado internacionalmente con Pearson.</w:t>
      </w:r>
    </w:p>
    <w:p w14:paraId="10A83BA0" w14:textId="77777777" w:rsidR="00CF02DE" w:rsidRDefault="009D0A2B">
      <w:pPr>
        <w:pStyle w:val="Ttulo2"/>
      </w:pPr>
      <w:r>
        <w:t>4. Nuevo Calendario Académico 2026</w:t>
      </w:r>
    </w:p>
    <w:p w14:paraId="21042585" w14:textId="77777777" w:rsidR="00CF02DE" w:rsidRDefault="009D0A2B">
      <w:r>
        <w:t>El calendario se organiza en 6 bimestres con cursos de 30 horas efectivas + 3 de evaluación Pearson, unificando modalidades Zoom y presencial. Garantiza continuidad, flexibilidad y progreso medible.</w:t>
      </w:r>
    </w:p>
    <w:p w14:paraId="3720223A" w14:textId="77777777" w:rsidR="00CF02DE" w:rsidRDefault="009D0A2B">
      <w:pPr>
        <w:pStyle w:val="Ttulo2"/>
      </w:pPr>
      <w:r>
        <w:t>5. Certificación Pearson como eje de calidad</w:t>
      </w:r>
    </w:p>
    <w:p w14:paraId="66CDECC6" w14:textId="77777777" w:rsidR="00CF02DE" w:rsidRDefault="009D0A2B">
      <w:r>
        <w:t>Todo curso ICBC con cambio de banda CEFR incluirá certificación PEIC Pearson. Meta diciembre 2025: 150 alumnos certificados.</w:t>
      </w:r>
    </w:p>
    <w:p w14:paraId="050162BE" w14:textId="77777777" w:rsidR="00CF02DE" w:rsidRDefault="009D0A2B">
      <w:pPr>
        <w:pStyle w:val="Ttulo2"/>
      </w:pPr>
      <w:r>
        <w:t>6. Calidad + Rentabilidad</w:t>
      </w:r>
    </w:p>
    <w:p w14:paraId="2135BB56" w14:textId="77777777" w:rsidR="00CF02DE" w:rsidRDefault="009D0A2B">
      <w:r>
        <w:t>La reducción de 3 horas presenciales y la adopción de cursos intensivos permiten aumentar la eficiencia, mejorar la retención y optimizar los recursos sin perder calidad académica.</w:t>
      </w:r>
    </w:p>
    <w:p w14:paraId="2560A171" w14:textId="77777777" w:rsidR="00CF02DE" w:rsidRDefault="009D0A2B">
      <w:pPr>
        <w:pStyle w:val="Ttulo2"/>
      </w:pPr>
      <w:r>
        <w:t>7. Nuevo Departamento Integrado: Colegios, Exámenes y Capacitación Docente</w:t>
      </w:r>
    </w:p>
    <w:p w14:paraId="071E45AB" w14:textId="77777777" w:rsidR="00CF02DE" w:rsidRDefault="009D0A2B">
      <w:r>
        <w:t>Se fusionan tres áreas bajo el OTEC ICBC para formar un gran departamento transversal que garantice soporte, control de calidad y desarrollo profesional docente. El programa 'Vivir el Inglés' marcará un antes y un después en colegios.</w:t>
      </w:r>
    </w:p>
    <w:p w14:paraId="2F636DE4" w14:textId="77777777" w:rsidR="00CF02DE" w:rsidRDefault="009D0A2B">
      <w:pPr>
        <w:pStyle w:val="Ttulo2"/>
      </w:pPr>
      <w:r>
        <w:t>8. Sistema de Gestión de Calidad ICBC 2026</w:t>
      </w:r>
    </w:p>
    <w:p w14:paraId="147B8338" w14:textId="77777777" w:rsidR="00CF02DE" w:rsidRDefault="009D0A2B">
      <w:r>
        <w:t>Se implementará un sistema integral basado en Odoo y auditorías internas, con control digital de asistencia, evaluaciones automatizadas y seguimiento de indicadores de desempeño académico.</w:t>
      </w:r>
    </w:p>
    <w:p w14:paraId="6165C871" w14:textId="77777777" w:rsidR="00CF02DE" w:rsidRDefault="009D0A2B">
      <w:pPr>
        <w:pStyle w:val="Ttulo2"/>
      </w:pPr>
      <w:r>
        <w:t>9. Plan de Acción 2026</w:t>
      </w:r>
    </w:p>
    <w:p w14:paraId="18C793BC" w14:textId="77777777" w:rsidR="00CF02DE" w:rsidRDefault="009D0A2B">
      <w:r>
        <w:t>Inmediato: control docente digital. Enero 2026: evaluación online Pearson. Marzo 2026: auditorías OTEC ICBC. Permanente: retención de alumnos y seguimiento personalizado.</w:t>
      </w:r>
    </w:p>
    <w:p w14:paraId="3B7B505D" w14:textId="77777777" w:rsidR="00CF02DE" w:rsidRDefault="009D0A2B">
      <w:pPr>
        <w:pStyle w:val="Ttulo2"/>
      </w:pPr>
      <w:r>
        <w:t>10. Cierre Motivador</w:t>
      </w:r>
    </w:p>
    <w:p w14:paraId="04C6DB0D" w14:textId="77777777" w:rsidR="00CF02DE" w:rsidRDefault="009D0A2B">
      <w:r>
        <w:t>El ICBC no compite por precio, compite por excelencia. Este es el momento de ser audaces, coherentes y responsables. La transformación comienza en el aula y se sostiene con liderazgo.</w:t>
      </w:r>
    </w:p>
    <w:sectPr w:rsidR="00CF02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47047">
    <w:abstractNumId w:val="8"/>
  </w:num>
  <w:num w:numId="2" w16cid:durableId="2123726719">
    <w:abstractNumId w:val="6"/>
  </w:num>
  <w:num w:numId="3" w16cid:durableId="89549754">
    <w:abstractNumId w:val="5"/>
  </w:num>
  <w:num w:numId="4" w16cid:durableId="498078054">
    <w:abstractNumId w:val="4"/>
  </w:num>
  <w:num w:numId="5" w16cid:durableId="1869489969">
    <w:abstractNumId w:val="7"/>
  </w:num>
  <w:num w:numId="6" w16cid:durableId="50348797">
    <w:abstractNumId w:val="3"/>
  </w:num>
  <w:num w:numId="7" w16cid:durableId="1955283947">
    <w:abstractNumId w:val="2"/>
  </w:num>
  <w:num w:numId="8" w16cid:durableId="1305626535">
    <w:abstractNumId w:val="1"/>
  </w:num>
  <w:num w:numId="9" w16cid:durableId="70355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3315"/>
    <w:rsid w:val="009D0A2B"/>
    <w:rsid w:val="00AA1D8D"/>
    <w:rsid w:val="00B47730"/>
    <w:rsid w:val="00CB0664"/>
    <w:rsid w:val="00CF02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0B330DE-383F-D046-88A3-FABF8D9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